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right="0" w:rightChars="0"/>
        <w:jc w:val="center"/>
        <w:textAlignment w:val="auto"/>
        <w:rPr>
          <w:rFonts w:hint="eastAsia" w:ascii="方正小标宋_GBK" w:hAnsi="方正小标宋_GBK" w:eastAsia="方正小标宋_GBK" w:cs="方正小标宋_GBK"/>
          <w:color w:val="000000"/>
          <w:spacing w:val="0"/>
          <w:sz w:val="44"/>
          <w:szCs w:val="44"/>
          <w:lang w:val="en-US" w:eastAsia="zh-CN"/>
        </w:rPr>
      </w:pPr>
      <w:r>
        <w:rPr>
          <w:rFonts w:hint="eastAsia" w:ascii="方正小标宋_GBK" w:hAnsi="方正小标宋_GBK" w:eastAsia="方正小标宋_GBK" w:cs="方正小标宋_GBK"/>
          <w:color w:val="000000"/>
          <w:spacing w:val="0"/>
          <w:sz w:val="44"/>
          <w:szCs w:val="44"/>
          <w:lang w:val="en-US" w:eastAsia="zh-CN"/>
        </w:rPr>
        <w:t>清城区“3·14”一般道路交通事故</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right="0" w:rightChars="0"/>
        <w:jc w:val="center"/>
        <w:textAlignment w:val="auto"/>
        <w:rPr>
          <w:rFonts w:hint="eastAsia" w:ascii="方正小标宋_GBK" w:hAnsi="方正小标宋_GBK" w:eastAsia="方正小标宋_GBK" w:cs="方正小标宋_GBK"/>
          <w:color w:val="000000"/>
          <w:spacing w:val="0"/>
          <w:sz w:val="44"/>
          <w:szCs w:val="44"/>
          <w:lang w:val="en-US" w:eastAsia="zh-CN"/>
        </w:rPr>
      </w:pPr>
      <w:r>
        <w:rPr>
          <w:rFonts w:hint="eastAsia" w:ascii="方正小标宋_GBK" w:hAnsi="方正小标宋_GBK" w:eastAsia="方正小标宋_GBK" w:cs="方正小标宋_GBK"/>
          <w:color w:val="000000"/>
          <w:spacing w:val="0"/>
          <w:sz w:val="44"/>
          <w:szCs w:val="44"/>
          <w:lang w:val="en-US" w:eastAsia="zh-CN"/>
        </w:rPr>
        <w:t>责任追究和整改措施落实情况评估报告</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9"/>
        <w:rPr>
          <w:rFonts w:hint="eastAsia" w:ascii="仿宋_GB2312" w:hAnsi="仿宋_GB2312" w:eastAsia="仿宋_GB2312" w:cs="仿宋_GB2312"/>
          <w:color w:val="000000"/>
          <w:spacing w:val="0"/>
          <w:kern w:val="0"/>
          <w:sz w:val="32"/>
          <w:szCs w:val="32"/>
          <w:lang w:val="en-US" w:eastAsia="zh-CN" w:bidi="ar"/>
        </w:rPr>
      </w:pPr>
      <w:r>
        <w:rPr>
          <w:rFonts w:hint="eastAsia" w:ascii="仿宋_GB2312" w:hAnsi="仿宋_GB2312" w:eastAsia="仿宋_GB2312" w:cs="仿宋_GB2312"/>
          <w:color w:val="000000"/>
          <w:spacing w:val="0"/>
          <w:kern w:val="0"/>
          <w:sz w:val="32"/>
          <w:szCs w:val="32"/>
          <w:lang w:val="en-US" w:eastAsia="zh-CN" w:bidi="ar"/>
        </w:rPr>
        <w:t xml:space="preserve"> </w:t>
      </w:r>
    </w:p>
    <w:p>
      <w:pPr>
        <w:pStyle w:val="45"/>
        <w:keepNext w:val="0"/>
        <w:keepLines w:val="0"/>
        <w:pageBreakBefore w:val="0"/>
        <w:widowControl w:val="0"/>
        <w:tabs>
          <w:tab w:val="left" w:pos="3572"/>
        </w:tabs>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9"/>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sz w:val="32"/>
          <w:szCs w:val="32"/>
          <w:lang w:val="en-US" w:eastAsia="zh-CN"/>
        </w:rPr>
        <w:t>202</w:t>
      </w:r>
      <w:r>
        <w:rPr>
          <w:rFonts w:hint="default" w:ascii="仿宋_GB2312" w:hAnsi="仿宋_GB2312" w:eastAsia="仿宋_GB2312" w:cs="仿宋_GB2312"/>
          <w:b w:val="0"/>
          <w:bCs w:val="0"/>
          <w:sz w:val="32"/>
          <w:szCs w:val="32"/>
          <w:lang w:val="en-US" w:eastAsia="zh-CN"/>
        </w:rPr>
        <w:t>3</w:t>
      </w:r>
      <w:r>
        <w:rPr>
          <w:rFonts w:hint="eastAsia" w:ascii="仿宋_GB2312" w:hAnsi="仿宋_GB2312" w:eastAsia="仿宋_GB2312" w:cs="仿宋_GB2312"/>
          <w:b w:val="0"/>
          <w:bCs w:val="0"/>
          <w:sz w:val="32"/>
          <w:szCs w:val="32"/>
          <w:lang w:val="en-US" w:eastAsia="zh-CN"/>
        </w:rPr>
        <w:t>年</w:t>
      </w:r>
      <w:r>
        <w:rPr>
          <w:rFonts w:hint="default" w:ascii="仿宋_GB2312" w:hAnsi="仿宋_GB2312" w:eastAsia="仿宋_GB2312" w:cs="仿宋_GB2312"/>
          <w:b w:val="0"/>
          <w:bCs w:val="0"/>
          <w:sz w:val="32"/>
          <w:szCs w:val="32"/>
          <w:lang w:val="en-US" w:eastAsia="zh-CN"/>
        </w:rPr>
        <w:t>3</w:t>
      </w:r>
      <w:r>
        <w:rPr>
          <w:rFonts w:hint="eastAsia" w:ascii="仿宋_GB2312" w:hAnsi="仿宋_GB2312" w:eastAsia="仿宋_GB2312" w:cs="仿宋_GB2312"/>
          <w:b w:val="0"/>
          <w:bCs w:val="0"/>
          <w:sz w:val="32"/>
          <w:szCs w:val="32"/>
          <w:lang w:val="en-US" w:eastAsia="zh-CN"/>
        </w:rPr>
        <w:t>月</w:t>
      </w:r>
      <w:r>
        <w:rPr>
          <w:rFonts w:hint="default" w:ascii="仿宋_GB2312" w:hAnsi="仿宋_GB2312" w:eastAsia="仿宋_GB2312" w:cs="仿宋_GB2312"/>
          <w:b w:val="0"/>
          <w:bCs w:val="0"/>
          <w:sz w:val="32"/>
          <w:szCs w:val="32"/>
          <w:lang w:val="en-US" w:eastAsia="zh-CN"/>
        </w:rPr>
        <w:t>14</w:t>
      </w:r>
      <w:r>
        <w:rPr>
          <w:rFonts w:hint="eastAsia" w:ascii="仿宋_GB2312" w:hAnsi="仿宋_GB2312" w:eastAsia="仿宋_GB2312" w:cs="仿宋_GB2312"/>
          <w:b w:val="0"/>
          <w:bCs w:val="0"/>
          <w:sz w:val="32"/>
          <w:szCs w:val="32"/>
          <w:lang w:val="en-US" w:eastAsia="zh-CN"/>
        </w:rPr>
        <w:t>日</w:t>
      </w:r>
      <w:r>
        <w:rPr>
          <w:rFonts w:hint="default" w:ascii="仿宋_GB2312" w:hAnsi="仿宋_GB2312" w:eastAsia="仿宋_GB2312" w:cs="仿宋_GB2312"/>
          <w:b w:val="0"/>
          <w:bCs w:val="0"/>
          <w:sz w:val="32"/>
          <w:szCs w:val="32"/>
          <w:lang w:val="en-US" w:eastAsia="zh-CN"/>
        </w:rPr>
        <w:t>15</w:t>
      </w:r>
      <w:r>
        <w:rPr>
          <w:rFonts w:hint="eastAsia" w:ascii="仿宋_GB2312" w:hAnsi="仿宋_GB2312" w:eastAsia="仿宋_GB2312" w:cs="仿宋_GB2312"/>
          <w:color w:val="auto"/>
          <w:spacing w:val="20"/>
          <w:sz w:val="32"/>
          <w:szCs w:val="32"/>
          <w:lang w:val="en-US" w:eastAsia="zh-CN"/>
        </w:rPr>
        <w:t>时</w:t>
      </w:r>
      <w:r>
        <w:rPr>
          <w:rFonts w:hint="default" w:ascii="仿宋_GB2312" w:hAnsi="仿宋_GB2312" w:eastAsia="仿宋_GB2312" w:cs="仿宋_GB2312"/>
          <w:color w:val="auto"/>
          <w:spacing w:val="20"/>
          <w:sz w:val="32"/>
          <w:szCs w:val="32"/>
          <w:lang w:val="en-US" w:eastAsia="zh-CN"/>
        </w:rPr>
        <w:t>35</w:t>
      </w:r>
      <w:r>
        <w:rPr>
          <w:rFonts w:hint="eastAsia" w:ascii="仿宋_GB2312" w:hAnsi="仿宋_GB2312" w:eastAsia="仿宋_GB2312" w:cs="仿宋_GB2312"/>
          <w:color w:val="auto"/>
          <w:spacing w:val="20"/>
          <w:sz w:val="32"/>
          <w:szCs w:val="32"/>
          <w:lang w:eastAsia="zh-CN"/>
        </w:rPr>
        <w:t>分，位于清城区东城街辖区的石狮路与马岭路十字路口</w:t>
      </w:r>
      <w:r>
        <w:rPr>
          <w:rFonts w:hint="eastAsia" w:ascii="仿宋_GB2312" w:hAnsi="仿宋_GB2312" w:eastAsia="仿宋_GB2312" w:cs="仿宋_GB2312"/>
          <w:color w:val="auto"/>
          <w:spacing w:val="20"/>
          <w:sz w:val="32"/>
          <w:szCs w:val="32"/>
          <w:lang w:val="en-US" w:eastAsia="zh-CN"/>
        </w:rPr>
        <w:t>路段，粤</w:t>
      </w:r>
      <w:r>
        <w:rPr>
          <w:rFonts w:hint="default" w:ascii="仿宋_GB2312" w:hAnsi="仿宋_GB2312" w:eastAsia="仿宋_GB2312" w:cs="仿宋_GB2312"/>
          <w:color w:val="auto"/>
          <w:spacing w:val="20"/>
          <w:sz w:val="32"/>
          <w:szCs w:val="32"/>
          <w:lang w:val="en-US" w:eastAsia="zh-CN"/>
        </w:rPr>
        <w:t>R83180</w:t>
      </w:r>
      <w:r>
        <w:rPr>
          <w:rFonts w:hint="eastAsia" w:ascii="仿宋_GB2312" w:hAnsi="仿宋_GB2312" w:eastAsia="仿宋_GB2312" w:cs="仿宋_GB2312"/>
          <w:color w:val="auto"/>
          <w:spacing w:val="20"/>
          <w:sz w:val="32"/>
          <w:szCs w:val="32"/>
          <w:lang w:val="en-US" w:eastAsia="zh-CN"/>
        </w:rPr>
        <w:t>号重型自卸货车与粤</w:t>
      </w:r>
      <w:r>
        <w:rPr>
          <w:rFonts w:hint="default" w:ascii="仿宋_GB2312" w:hAnsi="仿宋_GB2312" w:eastAsia="仿宋_GB2312" w:cs="仿宋_GB2312"/>
          <w:color w:val="auto"/>
          <w:spacing w:val="20"/>
          <w:sz w:val="32"/>
          <w:szCs w:val="32"/>
          <w:lang w:val="en-US" w:eastAsia="zh-CN"/>
        </w:rPr>
        <w:t>RYR602</w:t>
      </w:r>
      <w:r>
        <w:rPr>
          <w:rFonts w:hint="eastAsia" w:ascii="仿宋_GB2312" w:hAnsi="仿宋_GB2312" w:eastAsia="仿宋_GB2312" w:cs="仿宋_GB2312"/>
          <w:color w:val="auto"/>
          <w:spacing w:val="20"/>
          <w:sz w:val="32"/>
          <w:szCs w:val="32"/>
          <w:lang w:val="en-US" w:eastAsia="zh-CN"/>
        </w:rPr>
        <w:t>号小型面包车发生碰撞，造成粤</w:t>
      </w:r>
      <w:r>
        <w:rPr>
          <w:rFonts w:hint="default" w:ascii="仿宋_GB2312" w:hAnsi="仿宋_GB2312" w:eastAsia="仿宋_GB2312" w:cs="仿宋_GB2312"/>
          <w:color w:val="auto"/>
          <w:spacing w:val="20"/>
          <w:sz w:val="32"/>
          <w:szCs w:val="32"/>
          <w:lang w:val="en-US" w:eastAsia="zh-CN"/>
        </w:rPr>
        <w:t>RYR602</w:t>
      </w:r>
      <w:r>
        <w:rPr>
          <w:rFonts w:hint="eastAsia" w:ascii="仿宋_GB2312" w:hAnsi="仿宋_GB2312" w:eastAsia="仿宋_GB2312" w:cs="仿宋_GB2312"/>
          <w:color w:val="auto"/>
          <w:spacing w:val="20"/>
          <w:sz w:val="32"/>
          <w:szCs w:val="32"/>
          <w:lang w:val="en-US" w:eastAsia="zh-CN"/>
        </w:rPr>
        <w:t>号小型面包车驾驶人死亡。</w:t>
      </w:r>
      <w:r>
        <w:rPr>
          <w:rFonts w:hint="eastAsia" w:ascii="仿宋_GB2312" w:hAnsi="仿宋_GB2312" w:eastAsia="仿宋_GB2312" w:cs="仿宋_GB2312"/>
          <w:b w:val="0"/>
          <w:bCs w:val="0"/>
          <w:color w:val="auto"/>
          <w:sz w:val="32"/>
          <w:szCs w:val="32"/>
          <w:highlight w:val="none"/>
          <w:lang w:val="en-US" w:eastAsia="zh-CN"/>
        </w:rPr>
        <w:t>事故发生后，清城区人民政府依法成立事故调查组，开展了事故调查，并形成《清城区“3·14”一般道路交通事故调查报告》（以下简称《事故调查报告》）。2023年12月8日，《事故调查报告》经清城区人民政府批复同意结案。</w:t>
      </w:r>
    </w:p>
    <w:p>
      <w:pPr>
        <w:pStyle w:val="44"/>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eastAsia="zh-CN"/>
        </w:rPr>
        <w:t>为深刻吸取</w:t>
      </w:r>
      <w:r>
        <w:rPr>
          <w:rFonts w:hint="eastAsia" w:ascii="仿宋_GB2312" w:hAnsi="仿宋_GB2312" w:eastAsia="仿宋_GB2312" w:cs="仿宋_GB2312"/>
          <w:sz w:val="32"/>
          <w:szCs w:val="32"/>
          <w:highlight w:val="none"/>
          <w:lang w:val="en-US" w:eastAsia="zh-CN"/>
        </w:rPr>
        <w:t>2023年以来一系列生产安全事故教训，扎实做好生产安全事故责任追究和整改措施落实情况评估工作，确保全区安全生产形势稳定有序，依据《中华人民共和国安全生产法》《国务院安委会办公室关于印发生产安全事故防范和整改措施落实情况评估办法的通知》（安委办〔2021〕4号）和《清远市清城区生产安全事故责任追究和整改措施落实情况评估制度（试行）》（城安办〔2023〕18号）等规定，清城区安委办牵头组织成立了</w:t>
      </w:r>
      <w:r>
        <w:rPr>
          <w:rFonts w:hint="eastAsia" w:ascii="仿宋_GB2312" w:hAnsi="仿宋_GB2312" w:eastAsia="仿宋_GB2312" w:cs="仿宋_GB2312"/>
          <w:b w:val="0"/>
          <w:bCs w:val="0"/>
          <w:color w:val="auto"/>
          <w:sz w:val="32"/>
          <w:szCs w:val="32"/>
          <w:highlight w:val="none"/>
          <w:lang w:val="en-US" w:eastAsia="zh-CN"/>
        </w:rPr>
        <w:t>清城区“3·14”一般道路交通事故</w:t>
      </w:r>
      <w:r>
        <w:rPr>
          <w:rFonts w:hint="eastAsia" w:ascii="仿宋_GB2312" w:hAnsi="仿宋_GB2312" w:eastAsia="仿宋_GB2312" w:cs="仿宋_GB2312"/>
          <w:sz w:val="32"/>
          <w:szCs w:val="32"/>
          <w:highlight w:val="none"/>
          <w:lang w:val="en-US" w:eastAsia="zh-CN"/>
        </w:rPr>
        <w:t>责任追究和整改措施落实情况评估工作组（以下简称“评估组”），对事故责任追究和整改措施落实情况进行了评估。</w:t>
      </w:r>
    </w:p>
    <w:p>
      <w:pPr>
        <w:pStyle w:val="44"/>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一、评估工作组织及开展情况</w:t>
      </w:r>
    </w:p>
    <w:p>
      <w:pPr>
        <w:pStyle w:val="44"/>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清城区安委办依据《事故调查报告》等相关文件为依据，通过资料审查、座谈问询、查阅文件及现场核查等方式，对事故责任追究落实情况和整改措施落实进行了综合评估。</w:t>
      </w:r>
    </w:p>
    <w:p>
      <w:pPr>
        <w:pStyle w:val="44"/>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二、事故责任追究落实情况</w:t>
      </w:r>
    </w:p>
    <w:p>
      <w:pPr>
        <w:pStyle w:val="44"/>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按照《调查报告》等文件要求，梳理事故责任追究落实情况如下：</w:t>
      </w:r>
    </w:p>
    <w:p>
      <w:pPr>
        <w:pStyle w:val="44"/>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720" w:firstLineChars="200"/>
        <w:textAlignment w:val="auto"/>
        <w:outlineLvl w:val="9"/>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auto"/>
          <w:spacing w:val="20"/>
          <w:sz w:val="32"/>
          <w:szCs w:val="32"/>
          <w:lang w:val="en-US" w:eastAsia="zh-CN"/>
        </w:rPr>
        <w:t>粤</w:t>
      </w:r>
      <w:r>
        <w:rPr>
          <w:rFonts w:hint="default" w:ascii="仿宋_GB2312" w:hAnsi="仿宋_GB2312" w:eastAsia="仿宋_GB2312" w:cs="仿宋_GB2312"/>
          <w:color w:val="auto"/>
          <w:spacing w:val="20"/>
          <w:sz w:val="32"/>
          <w:szCs w:val="32"/>
          <w:lang w:val="en-US" w:eastAsia="zh-CN"/>
        </w:rPr>
        <w:t>R83180</w:t>
      </w:r>
      <w:r>
        <w:rPr>
          <w:rFonts w:hint="eastAsia" w:ascii="仿宋_GB2312" w:hAnsi="仿宋_GB2312" w:eastAsia="仿宋_GB2312" w:cs="仿宋_GB2312"/>
          <w:color w:val="auto"/>
          <w:spacing w:val="20"/>
          <w:sz w:val="32"/>
          <w:szCs w:val="32"/>
          <w:lang w:val="en-US" w:eastAsia="zh-CN"/>
        </w:rPr>
        <w:t>号重型自卸货车</w:t>
      </w:r>
      <w:r>
        <w:rPr>
          <w:rFonts w:hint="eastAsia" w:ascii="仿宋_GB2312" w:hAnsi="仿宋_GB2312" w:eastAsia="仿宋_GB2312" w:cs="仿宋_GB2312"/>
          <w:b w:val="0"/>
          <w:bCs w:val="0"/>
          <w:sz w:val="32"/>
          <w:szCs w:val="32"/>
          <w:lang w:val="en-US" w:eastAsia="zh-CN"/>
        </w:rPr>
        <w:t>驾驶人潘*生</w:t>
      </w:r>
      <w:r>
        <w:rPr>
          <w:rFonts w:hint="eastAsia" w:ascii="仿宋_GB2312" w:hAnsi="仿宋_GB2312" w:eastAsia="仿宋_GB2312" w:cs="仿宋_GB2312"/>
          <w:b w:val="0"/>
          <w:bCs w:val="0"/>
          <w:color w:val="000000"/>
          <w:sz w:val="32"/>
          <w:szCs w:val="32"/>
          <w:highlight w:val="none"/>
          <w:lang w:val="en-US" w:eastAsia="zh-CN"/>
        </w:rPr>
        <w:t>，驾驶车辆超载超速，</w:t>
      </w:r>
      <w:r>
        <w:rPr>
          <w:rFonts w:hint="eastAsia" w:ascii="仿宋_GB2312" w:hAnsi="仿宋_GB2312" w:eastAsia="仿宋_GB2312" w:cs="仿宋_GB2312"/>
          <w:color w:val="000000"/>
          <w:sz w:val="32"/>
          <w:szCs w:val="32"/>
          <w:lang w:val="en-US" w:eastAsia="zh-CN"/>
        </w:rPr>
        <w:t>在通过设置持续闪烁的黄色信号灯十字交叉路口时</w:t>
      </w:r>
      <w:r>
        <w:rPr>
          <w:rFonts w:hint="eastAsia" w:ascii="仿宋_GB2312" w:hAnsi="仿宋_GB2312" w:eastAsia="仿宋_GB2312" w:cs="仿宋_GB2312"/>
          <w:color w:val="000000"/>
          <w:sz w:val="32"/>
          <w:szCs w:val="32"/>
          <w:lang w:eastAsia="zh-CN"/>
        </w:rPr>
        <w:t>，未注意观察路口，安全通行，</w:t>
      </w:r>
      <w:r>
        <w:rPr>
          <w:rFonts w:hint="eastAsia" w:ascii="仿宋_GB2312" w:hAnsi="仿宋_GB2312" w:eastAsia="仿宋_GB2312" w:cs="仿宋_GB2312"/>
          <w:color w:val="000000"/>
          <w:sz w:val="32"/>
          <w:szCs w:val="32"/>
        </w:rPr>
        <w:t>对事故发生负有</w:t>
      </w:r>
      <w:r>
        <w:rPr>
          <w:rFonts w:hint="eastAsia" w:ascii="仿宋_GB2312" w:hAnsi="仿宋_GB2312" w:eastAsia="仿宋_GB2312" w:cs="仿宋_GB2312"/>
          <w:color w:val="000000"/>
          <w:sz w:val="32"/>
          <w:szCs w:val="32"/>
          <w:lang w:eastAsia="zh-CN"/>
        </w:rPr>
        <w:t>同等</w:t>
      </w:r>
      <w:r>
        <w:rPr>
          <w:rFonts w:hint="eastAsia" w:ascii="仿宋_GB2312" w:hAnsi="仿宋_GB2312" w:eastAsia="仿宋_GB2312" w:cs="仿宋_GB2312"/>
          <w:color w:val="000000"/>
          <w:sz w:val="32"/>
          <w:szCs w:val="32"/>
        </w:rPr>
        <w:t>责任</w:t>
      </w:r>
      <w:r>
        <w:rPr>
          <w:rFonts w:hint="eastAsia" w:ascii="仿宋_GB2312" w:hAnsi="仿宋_GB2312" w:eastAsia="仿宋_GB2312" w:cs="仿宋_GB2312"/>
          <w:color w:val="000000"/>
          <w:sz w:val="32"/>
          <w:szCs w:val="32"/>
          <w:lang w:eastAsia="zh-CN"/>
        </w:rPr>
        <w:t>。公安机关</w:t>
      </w:r>
      <w:r>
        <w:rPr>
          <w:rFonts w:hint="eastAsia" w:ascii="仿宋_GB2312" w:hAnsi="仿宋_GB2312" w:eastAsia="仿宋_GB2312" w:cs="仿宋_GB2312"/>
          <w:color w:val="000000"/>
          <w:sz w:val="32"/>
          <w:szCs w:val="32"/>
          <w:lang w:val="en-US" w:eastAsia="zh-CN"/>
        </w:rPr>
        <w:t>已</w:t>
      </w:r>
      <w:r>
        <w:rPr>
          <w:rFonts w:hint="eastAsia" w:ascii="仿宋_GB2312" w:hAnsi="仿宋_GB2312" w:eastAsia="仿宋_GB2312" w:cs="仿宋_GB2312"/>
          <w:color w:val="000000"/>
          <w:sz w:val="32"/>
          <w:szCs w:val="32"/>
          <w:lang w:eastAsia="zh-CN"/>
        </w:rPr>
        <w:t>按照法律追究其责任。</w:t>
      </w:r>
    </w:p>
    <w:p>
      <w:pPr>
        <w:pStyle w:val="44"/>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textAlignment w:val="auto"/>
        <w:outlineLvl w:val="9"/>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清城区交通运输局已对广东绿欣建设工程有限公司作出行政处罚决定</w:t>
      </w:r>
      <w:bookmarkStart w:id="0" w:name="_GoBack"/>
      <w:bookmarkEnd w:id="0"/>
      <w:r>
        <w:rPr>
          <w:rFonts w:hint="eastAsia" w:ascii="仿宋_GB2312" w:hAnsi="仿宋_GB2312" w:eastAsia="仿宋_GB2312" w:cs="仿宋_GB2312"/>
          <w:kern w:val="2"/>
          <w:sz w:val="32"/>
          <w:szCs w:val="32"/>
          <w:lang w:val="en-US" w:eastAsia="zh-CN"/>
        </w:rPr>
        <w:t>，现已将罚款上缴国库。</w:t>
      </w:r>
    </w:p>
    <w:p>
      <w:pPr>
        <w:pStyle w:val="44"/>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三、事故整改措施落实情况</w:t>
      </w:r>
    </w:p>
    <w:p>
      <w:pPr>
        <w:pStyle w:val="47"/>
        <w:keepNext w:val="0"/>
        <w:keepLines w:val="0"/>
        <w:pageBreakBefore w:val="0"/>
        <w:shd w:val="clear" w:color="auto" w:fill="FFFFFF"/>
        <w:kinsoku/>
        <w:wordWrap/>
        <w:overflowPunct/>
        <w:topLinePunct w:val="0"/>
        <w:autoSpaceDE/>
        <w:autoSpaceDN/>
        <w:bidi w:val="0"/>
        <w:adjustRightInd/>
        <w:snapToGrid/>
        <w:spacing w:before="0" w:beforeLines="0" w:beforeAutospacing="0" w:after="0" w:afterLines="0" w:afterAutospacing="0" w:line="56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道路交通运输业户已经监管职能部门培训考核合格，并持有相关的安全管理资格证书。在日常安全生产管理过程中，已认真履行安全生主要负责人职责，严格落实日常的安全隐患检查排查，强化对运输车辆动态监控管理力度工作，及时发现并制止驾驶员超载超速行为，防范道路交通事故的发生。</w:t>
      </w:r>
    </w:p>
    <w:p>
      <w:pPr>
        <w:pStyle w:val="44"/>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textAlignment w:val="auto"/>
        <w:outlineLvl w:val="9"/>
        <w:rPr>
          <w:rFonts w:hint="eastAsia" w:ascii="黑体" w:hAnsi="黑体" w:eastAsia="黑体" w:cs="黑体"/>
          <w:color w:val="000000" w:themeColor="text1"/>
          <w:sz w:val="32"/>
          <w:szCs w:val="32"/>
          <w:highlight w:val="none"/>
          <w:lang w:val="en-US" w:eastAsia="zh-CN"/>
          <w14:textFill>
            <w14:solidFill>
              <w14:schemeClr w14:val="tx1"/>
            </w14:solidFill>
          </w14:textFill>
        </w:rPr>
      </w:pPr>
      <w:r>
        <w:rPr>
          <w:rFonts w:hint="eastAsia" w:ascii="黑体" w:hAnsi="黑体" w:eastAsia="黑体" w:cs="黑体"/>
          <w:color w:val="000000" w:themeColor="text1"/>
          <w:sz w:val="32"/>
          <w:szCs w:val="32"/>
          <w:highlight w:val="none"/>
          <w:lang w:val="en-US" w:eastAsia="zh-CN"/>
          <w14:textFill>
            <w14:solidFill>
              <w14:schemeClr w14:val="tx1"/>
            </w14:solidFill>
          </w14:textFill>
        </w:rPr>
        <w:t>四、总体评估意见</w:t>
      </w:r>
    </w:p>
    <w:p>
      <w:pPr>
        <w:pStyle w:val="44"/>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textAlignment w:val="auto"/>
        <w:outlineLvl w:val="9"/>
        <w:rPr>
          <w:rFonts w:hint="eastAsia" w:ascii="仿宋_GB2312" w:hAnsi="仿宋_GB2312" w:eastAsia="仿宋_GB2312" w:cs="仿宋_GB2312"/>
          <w:color w:val="auto"/>
          <w:spacing w:val="0"/>
          <w:kern w:val="0"/>
          <w:sz w:val="32"/>
          <w:szCs w:val="32"/>
          <w:lang w:val="en-US" w:eastAsia="zh-CN"/>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从事故责任追究和整改措施落实情况来看，评估组认为事故责任追究已基本落实到位；各有关单位也基本落实了《事故调查报告》中关于事故防范和整改措施的各项建议。</w:t>
      </w:r>
    </w:p>
    <w:sectPr>
      <w:footerReference r:id="rId3" w:type="default"/>
      <w:pgSz w:w="11906" w:h="16838"/>
      <w:pgMar w:top="2211" w:right="1474" w:bottom="1871" w:left="158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_GBK">
    <w:panose1 w:val="03000502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4"/>
                            <w:rPr>
                              <w:rFonts w:hint="eastAsia" w:eastAsia="宋体"/>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pPr>
                      <w:pStyle w:val="4"/>
                      <w:rPr>
                        <w:rFonts w:hint="eastAsia" w:eastAsia="宋体"/>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4315FD"/>
    <w:rsid w:val="004B15F6"/>
    <w:rsid w:val="0088175C"/>
    <w:rsid w:val="02C43D92"/>
    <w:rsid w:val="02C8787C"/>
    <w:rsid w:val="034642BD"/>
    <w:rsid w:val="04687406"/>
    <w:rsid w:val="04CF4517"/>
    <w:rsid w:val="04F1566A"/>
    <w:rsid w:val="058B3FCB"/>
    <w:rsid w:val="05EF672D"/>
    <w:rsid w:val="060716AE"/>
    <w:rsid w:val="06AC5A27"/>
    <w:rsid w:val="07151F74"/>
    <w:rsid w:val="07A7571A"/>
    <w:rsid w:val="07DF23F6"/>
    <w:rsid w:val="08693A86"/>
    <w:rsid w:val="089C50DE"/>
    <w:rsid w:val="093C4D6C"/>
    <w:rsid w:val="097378F0"/>
    <w:rsid w:val="09E56C49"/>
    <w:rsid w:val="0A57582E"/>
    <w:rsid w:val="0BD3506A"/>
    <w:rsid w:val="0BE67C91"/>
    <w:rsid w:val="0C1E5A5A"/>
    <w:rsid w:val="0C247FB3"/>
    <w:rsid w:val="0C250632"/>
    <w:rsid w:val="0C9E16B4"/>
    <w:rsid w:val="0CBB2FBF"/>
    <w:rsid w:val="0CEE1969"/>
    <w:rsid w:val="0D1509BB"/>
    <w:rsid w:val="0D94513C"/>
    <w:rsid w:val="0F460B49"/>
    <w:rsid w:val="0F5620AE"/>
    <w:rsid w:val="0F8527F2"/>
    <w:rsid w:val="0FAA3920"/>
    <w:rsid w:val="0FF600C9"/>
    <w:rsid w:val="10A55C03"/>
    <w:rsid w:val="10AA1F20"/>
    <w:rsid w:val="10C1593E"/>
    <w:rsid w:val="11220A90"/>
    <w:rsid w:val="112552A2"/>
    <w:rsid w:val="125C1725"/>
    <w:rsid w:val="12727F47"/>
    <w:rsid w:val="137E4ABC"/>
    <w:rsid w:val="14202A8F"/>
    <w:rsid w:val="14267648"/>
    <w:rsid w:val="14530752"/>
    <w:rsid w:val="14E039FB"/>
    <w:rsid w:val="152D0A7E"/>
    <w:rsid w:val="153F353B"/>
    <w:rsid w:val="15742B2D"/>
    <w:rsid w:val="167B7B46"/>
    <w:rsid w:val="16FB209C"/>
    <w:rsid w:val="1705105C"/>
    <w:rsid w:val="171B4C4A"/>
    <w:rsid w:val="173C1501"/>
    <w:rsid w:val="178E1701"/>
    <w:rsid w:val="17C2337A"/>
    <w:rsid w:val="17CC7BA7"/>
    <w:rsid w:val="17CD13F6"/>
    <w:rsid w:val="18077F41"/>
    <w:rsid w:val="183E156F"/>
    <w:rsid w:val="185B142A"/>
    <w:rsid w:val="197938A8"/>
    <w:rsid w:val="19FB2A6D"/>
    <w:rsid w:val="1A0F6788"/>
    <w:rsid w:val="1A215AA2"/>
    <w:rsid w:val="1A7F78D8"/>
    <w:rsid w:val="1AE03114"/>
    <w:rsid w:val="1B79005F"/>
    <w:rsid w:val="1BA676C1"/>
    <w:rsid w:val="1BD556C2"/>
    <w:rsid w:val="1BDD5E73"/>
    <w:rsid w:val="1C0F0AE0"/>
    <w:rsid w:val="1C5A6A30"/>
    <w:rsid w:val="1D017DBC"/>
    <w:rsid w:val="1D2C720D"/>
    <w:rsid w:val="1E701C14"/>
    <w:rsid w:val="1E851801"/>
    <w:rsid w:val="1FCB0D9C"/>
    <w:rsid w:val="20726850"/>
    <w:rsid w:val="207527E7"/>
    <w:rsid w:val="20B408FC"/>
    <w:rsid w:val="20E73131"/>
    <w:rsid w:val="222A7456"/>
    <w:rsid w:val="224F6C07"/>
    <w:rsid w:val="22505BE0"/>
    <w:rsid w:val="22F079FA"/>
    <w:rsid w:val="22F37EEF"/>
    <w:rsid w:val="23201BA0"/>
    <w:rsid w:val="23AA6412"/>
    <w:rsid w:val="23D72CE5"/>
    <w:rsid w:val="240B7E70"/>
    <w:rsid w:val="240C52F7"/>
    <w:rsid w:val="243D3F00"/>
    <w:rsid w:val="24BB7EEC"/>
    <w:rsid w:val="250D648A"/>
    <w:rsid w:val="25D24231"/>
    <w:rsid w:val="2615563F"/>
    <w:rsid w:val="268530A5"/>
    <w:rsid w:val="27230004"/>
    <w:rsid w:val="277B56A4"/>
    <w:rsid w:val="27CB0B26"/>
    <w:rsid w:val="280C1796"/>
    <w:rsid w:val="281D3CF6"/>
    <w:rsid w:val="291B2F92"/>
    <w:rsid w:val="299A25BE"/>
    <w:rsid w:val="2A747024"/>
    <w:rsid w:val="2AF47CF8"/>
    <w:rsid w:val="2B901594"/>
    <w:rsid w:val="2B903B6F"/>
    <w:rsid w:val="2C736F8D"/>
    <w:rsid w:val="2C8E3A38"/>
    <w:rsid w:val="2CAF59DF"/>
    <w:rsid w:val="2CB07D6D"/>
    <w:rsid w:val="2D506D67"/>
    <w:rsid w:val="2D6F7B24"/>
    <w:rsid w:val="2D797876"/>
    <w:rsid w:val="2DB95D54"/>
    <w:rsid w:val="2E0D2A50"/>
    <w:rsid w:val="2E10215F"/>
    <w:rsid w:val="2E1611AD"/>
    <w:rsid w:val="2F024305"/>
    <w:rsid w:val="2FE24F97"/>
    <w:rsid w:val="2FE97E88"/>
    <w:rsid w:val="2FF509DB"/>
    <w:rsid w:val="30A36B4D"/>
    <w:rsid w:val="31144B47"/>
    <w:rsid w:val="31427DEE"/>
    <w:rsid w:val="321002E1"/>
    <w:rsid w:val="32467E21"/>
    <w:rsid w:val="32581AEF"/>
    <w:rsid w:val="32852045"/>
    <w:rsid w:val="32A126C6"/>
    <w:rsid w:val="32B17BF9"/>
    <w:rsid w:val="32C603AA"/>
    <w:rsid w:val="330C0BCE"/>
    <w:rsid w:val="330D052E"/>
    <w:rsid w:val="336A15D9"/>
    <w:rsid w:val="338957A2"/>
    <w:rsid w:val="339E4CAB"/>
    <w:rsid w:val="344B53A4"/>
    <w:rsid w:val="345B0D3D"/>
    <w:rsid w:val="35190499"/>
    <w:rsid w:val="3532062C"/>
    <w:rsid w:val="354F350B"/>
    <w:rsid w:val="36E31578"/>
    <w:rsid w:val="36E417A4"/>
    <w:rsid w:val="37E06569"/>
    <w:rsid w:val="37F92C63"/>
    <w:rsid w:val="380B2F5E"/>
    <w:rsid w:val="38CE7F83"/>
    <w:rsid w:val="38E30E04"/>
    <w:rsid w:val="39CC7613"/>
    <w:rsid w:val="3A320F84"/>
    <w:rsid w:val="3B5311DC"/>
    <w:rsid w:val="3CE1046D"/>
    <w:rsid w:val="3D777269"/>
    <w:rsid w:val="3E406CE8"/>
    <w:rsid w:val="3E687C14"/>
    <w:rsid w:val="3EB469AD"/>
    <w:rsid w:val="3F425704"/>
    <w:rsid w:val="403C3322"/>
    <w:rsid w:val="40D03E5C"/>
    <w:rsid w:val="4149213E"/>
    <w:rsid w:val="41FA19ED"/>
    <w:rsid w:val="426779FB"/>
    <w:rsid w:val="427371EE"/>
    <w:rsid w:val="42CF5D33"/>
    <w:rsid w:val="42DC6F36"/>
    <w:rsid w:val="44B36B4F"/>
    <w:rsid w:val="45864100"/>
    <w:rsid w:val="459A5CFB"/>
    <w:rsid w:val="45A54667"/>
    <w:rsid w:val="45C16EB8"/>
    <w:rsid w:val="462A5740"/>
    <w:rsid w:val="46E7143C"/>
    <w:rsid w:val="471B75B4"/>
    <w:rsid w:val="47B172DD"/>
    <w:rsid w:val="47C11DE0"/>
    <w:rsid w:val="47D55061"/>
    <w:rsid w:val="47FA4066"/>
    <w:rsid w:val="48531179"/>
    <w:rsid w:val="4AAB2748"/>
    <w:rsid w:val="4AC86795"/>
    <w:rsid w:val="4ACD7120"/>
    <w:rsid w:val="4B035798"/>
    <w:rsid w:val="4B4315FD"/>
    <w:rsid w:val="4B9F503C"/>
    <w:rsid w:val="4C4819AA"/>
    <w:rsid w:val="4C483DAF"/>
    <w:rsid w:val="4C8E75B9"/>
    <w:rsid w:val="4D39008F"/>
    <w:rsid w:val="4E11481F"/>
    <w:rsid w:val="4E4C289D"/>
    <w:rsid w:val="4ED51790"/>
    <w:rsid w:val="4F4D05C3"/>
    <w:rsid w:val="50A1382E"/>
    <w:rsid w:val="50A37021"/>
    <w:rsid w:val="513B1415"/>
    <w:rsid w:val="52B22E79"/>
    <w:rsid w:val="53C670E8"/>
    <w:rsid w:val="54501F62"/>
    <w:rsid w:val="54781E89"/>
    <w:rsid w:val="54813B01"/>
    <w:rsid w:val="54BD1AEF"/>
    <w:rsid w:val="55A53AB4"/>
    <w:rsid w:val="56DE4FC7"/>
    <w:rsid w:val="578D1ADF"/>
    <w:rsid w:val="58B469B6"/>
    <w:rsid w:val="59BF657B"/>
    <w:rsid w:val="59D55722"/>
    <w:rsid w:val="59FF13B5"/>
    <w:rsid w:val="5A3013A6"/>
    <w:rsid w:val="5A6E696E"/>
    <w:rsid w:val="5BEE1C26"/>
    <w:rsid w:val="5C274C3C"/>
    <w:rsid w:val="5C2753E3"/>
    <w:rsid w:val="5CE85CBE"/>
    <w:rsid w:val="5D246523"/>
    <w:rsid w:val="5EDA0497"/>
    <w:rsid w:val="5EED4933"/>
    <w:rsid w:val="5F350297"/>
    <w:rsid w:val="5FC2489D"/>
    <w:rsid w:val="602F71D0"/>
    <w:rsid w:val="604340DC"/>
    <w:rsid w:val="60440ACE"/>
    <w:rsid w:val="608B5AEC"/>
    <w:rsid w:val="60D63402"/>
    <w:rsid w:val="62CE2F3C"/>
    <w:rsid w:val="632703AA"/>
    <w:rsid w:val="633A61A2"/>
    <w:rsid w:val="63797330"/>
    <w:rsid w:val="650D0C52"/>
    <w:rsid w:val="651915AF"/>
    <w:rsid w:val="652D2F21"/>
    <w:rsid w:val="65882BFB"/>
    <w:rsid w:val="65B53F75"/>
    <w:rsid w:val="6725366E"/>
    <w:rsid w:val="68B7544F"/>
    <w:rsid w:val="69215EFE"/>
    <w:rsid w:val="69507888"/>
    <w:rsid w:val="69B43182"/>
    <w:rsid w:val="6B597DB6"/>
    <w:rsid w:val="6BE67F84"/>
    <w:rsid w:val="6C4C09B2"/>
    <w:rsid w:val="6C616080"/>
    <w:rsid w:val="6C690BDE"/>
    <w:rsid w:val="6C77084D"/>
    <w:rsid w:val="6D4D392B"/>
    <w:rsid w:val="6D601FCB"/>
    <w:rsid w:val="6DB63697"/>
    <w:rsid w:val="6E253995"/>
    <w:rsid w:val="6E423C11"/>
    <w:rsid w:val="6E581CF7"/>
    <w:rsid w:val="6EAE7D3D"/>
    <w:rsid w:val="6EFC707C"/>
    <w:rsid w:val="6FCC2CB4"/>
    <w:rsid w:val="6FD47408"/>
    <w:rsid w:val="70130127"/>
    <w:rsid w:val="709838CF"/>
    <w:rsid w:val="71674B79"/>
    <w:rsid w:val="73C60C6C"/>
    <w:rsid w:val="745D59B4"/>
    <w:rsid w:val="7460797C"/>
    <w:rsid w:val="747B32BE"/>
    <w:rsid w:val="751E27C5"/>
    <w:rsid w:val="75211414"/>
    <w:rsid w:val="753436C0"/>
    <w:rsid w:val="75C11BEE"/>
    <w:rsid w:val="76CE429E"/>
    <w:rsid w:val="76D84B09"/>
    <w:rsid w:val="774C50EC"/>
    <w:rsid w:val="776B217F"/>
    <w:rsid w:val="77BC7F3B"/>
    <w:rsid w:val="782142FE"/>
    <w:rsid w:val="7837730E"/>
    <w:rsid w:val="78EE0ECF"/>
    <w:rsid w:val="79B23B3A"/>
    <w:rsid w:val="79BB5DC9"/>
    <w:rsid w:val="79CD595E"/>
    <w:rsid w:val="7B6B280D"/>
    <w:rsid w:val="7C50238F"/>
    <w:rsid w:val="7C8E02F0"/>
    <w:rsid w:val="7CE42473"/>
    <w:rsid w:val="7D037643"/>
    <w:rsid w:val="7D230BB4"/>
    <w:rsid w:val="7D3F7414"/>
    <w:rsid w:val="7D5E727E"/>
    <w:rsid w:val="7DD84E8B"/>
    <w:rsid w:val="7E6D6901"/>
    <w:rsid w:val="7E837086"/>
    <w:rsid w:val="7F01212C"/>
    <w:rsid w:val="7F0C62D8"/>
    <w:rsid w:val="7F456EF4"/>
    <w:rsid w:val="7F4D7374"/>
    <w:rsid w:val="7F8905CA"/>
    <w:rsid w:val="7F8B7D6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link w:val="10"/>
    <w:qFormat/>
    <w:uiPriority w:val="0"/>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rPr>
      <w:rFonts w:ascii="Calibri" w:hAnsi="Calibri"/>
    </w:rPr>
  </w:style>
  <w:style w:type="paragraph" w:styleId="3">
    <w:name w:val="Body Text"/>
    <w:qFormat/>
    <w:uiPriority w:val="0"/>
    <w:pPr>
      <w:spacing w:after="120" w:afterLines="0" w:afterAutospacing="0"/>
    </w:pPr>
    <w:rPr>
      <w:rFonts w:ascii="Times New Roman" w:hAnsi="Times New Roman" w:eastAsia="宋体" w:cs="Times New Roman"/>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6">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7">
    <w:name w:val="Normal (Web)"/>
    <w:basedOn w:val="1"/>
    <w:unhideWhenUsed/>
    <w:qFormat/>
    <w:uiPriority w:val="99"/>
    <w:pPr>
      <w:spacing w:before="100" w:beforeLines="0" w:beforeAutospacing="1" w:after="100" w:afterLines="0" w:afterAutospacing="1"/>
      <w:ind w:left="0" w:right="0"/>
      <w:jc w:val="left"/>
    </w:pPr>
    <w:rPr>
      <w:kern w:val="0"/>
      <w:sz w:val="24"/>
      <w:lang w:val="en-US" w:eastAsia="zh-CN" w:bidi="ar-SA"/>
    </w:rPr>
  </w:style>
  <w:style w:type="paragraph" w:customStyle="1" w:styleId="10">
    <w:name w:val=" Char"/>
    <w:link w:val="9"/>
    <w:qFormat/>
    <w:uiPriority w:val="0"/>
    <w:pPr>
      <w:widowControl/>
      <w:adjustRightInd w:val="0"/>
      <w:spacing w:after="160" w:afterLines="0" w:line="240" w:lineRule="exact"/>
      <w:jc w:val="left"/>
    </w:pPr>
    <w:rPr>
      <w:rFonts w:ascii="Calibri" w:hAnsi="Calibri" w:eastAsia="宋体" w:cs="Times New Roman"/>
    </w:rPr>
  </w:style>
  <w:style w:type="character" w:styleId="11">
    <w:name w:val="page number"/>
    <w:basedOn w:val="9"/>
    <w:unhideWhenUsed/>
    <w:qFormat/>
    <w:uiPriority w:val="99"/>
  </w:style>
  <w:style w:type="character" w:styleId="12">
    <w:name w:val="Hyperlink"/>
    <w:basedOn w:val="9"/>
    <w:qFormat/>
    <w:uiPriority w:val="0"/>
    <w:rPr>
      <w:color w:val="0000FF"/>
      <w:u w:val="single"/>
    </w:rPr>
  </w:style>
  <w:style w:type="character" w:customStyle="1" w:styleId="13">
    <w:name w:val="超链接 New"/>
    <w:basedOn w:val="9"/>
    <w:qFormat/>
    <w:uiPriority w:val="0"/>
    <w:rPr>
      <w:rFonts w:ascii="Times New Roman" w:hAnsi="Times New Roman" w:eastAsia="宋体"/>
      <w:color w:val="0000FF"/>
      <w:u w:val="single"/>
    </w:rPr>
  </w:style>
  <w:style w:type="character" w:customStyle="1" w:styleId="14">
    <w:name w:val="fontstyle01"/>
    <w:basedOn w:val="9"/>
    <w:qFormat/>
    <w:uiPriority w:val="0"/>
    <w:rPr>
      <w:rFonts w:ascii="黑体" w:hAnsi="宋体" w:eastAsia="黑体" w:cs="黑体"/>
      <w:color w:val="000000"/>
      <w:sz w:val="42"/>
      <w:szCs w:val="42"/>
    </w:rPr>
  </w:style>
  <w:style w:type="character" w:customStyle="1" w:styleId="15">
    <w:name w:val="页码 New New"/>
    <w:basedOn w:val="9"/>
    <w:qFormat/>
    <w:uiPriority w:val="0"/>
  </w:style>
  <w:style w:type="character" w:customStyle="1" w:styleId="16">
    <w:name w:val="页码 New"/>
    <w:basedOn w:val="9"/>
    <w:qFormat/>
    <w:uiPriority w:val="0"/>
  </w:style>
  <w:style w:type="paragraph" w:customStyle="1" w:styleId="17">
    <w:name w:val="页脚 New"/>
    <w:qFormat/>
    <w:uiPriority w:val="0"/>
    <w:pPr>
      <w:tabs>
        <w:tab w:val="center" w:pos="4153"/>
        <w:tab w:val="right" w:pos="8306"/>
      </w:tabs>
      <w:snapToGrid w:val="0"/>
      <w:jc w:val="left"/>
    </w:pPr>
    <w:rPr>
      <w:rFonts w:ascii="Calibri" w:hAnsi="Calibri" w:eastAsia="宋体" w:cs="Times New Roman"/>
      <w:sz w:val="18"/>
      <w:szCs w:val="18"/>
    </w:rPr>
  </w:style>
  <w:style w:type="paragraph" w:customStyle="1" w:styleId="18">
    <w:name w:val="Plain Text"/>
    <w:qFormat/>
    <w:uiPriority w:val="0"/>
    <w:rPr>
      <w:rFonts w:ascii="宋体" w:hAnsi="Courier New" w:eastAsia="宋体" w:cs="Times New Roman"/>
      <w:sz w:val="30"/>
      <w:szCs w:val="21"/>
    </w:rPr>
  </w:style>
  <w:style w:type="paragraph" w:customStyle="1" w:styleId="19">
    <w:name w:val="目录 2 New"/>
    <w:qFormat/>
    <w:uiPriority w:val="0"/>
    <w:pPr>
      <w:ind w:left="420" w:leftChars="200"/>
    </w:pPr>
    <w:rPr>
      <w:rFonts w:ascii="Calibri" w:hAnsi="Calibri" w:eastAsia="宋体" w:cs="Times New Roman"/>
    </w:rPr>
  </w:style>
  <w:style w:type="paragraph" w:customStyle="1" w:styleId="20">
    <w:name w:val="普通(网站) New"/>
    <w:qFormat/>
    <w:uiPriority w:val="0"/>
    <w:pPr>
      <w:spacing w:before="100" w:beforeLines="0" w:beforeAutospacing="1" w:after="100" w:afterLines="0" w:afterAutospacing="1"/>
      <w:ind w:left="0" w:right="0"/>
      <w:jc w:val="left"/>
    </w:pPr>
    <w:rPr>
      <w:rFonts w:ascii="Calibri" w:hAnsi="Calibri" w:eastAsia="宋体" w:cs="Times New Roman"/>
      <w:kern w:val="0"/>
      <w:sz w:val="24"/>
      <w:szCs w:val="20"/>
      <w:lang w:val="en-US" w:eastAsia="zh-CN" w:bidi="ar-SA"/>
    </w:rPr>
  </w:style>
  <w:style w:type="paragraph" w:customStyle="1" w:styleId="21">
    <w:name w:val="Normal"/>
    <w:qFormat/>
    <w:uiPriority w:val="0"/>
    <w:pPr>
      <w:jc w:val="both"/>
    </w:pPr>
    <w:rPr>
      <w:rFonts w:ascii="Times New Roman" w:hAnsi="Times New Roman" w:eastAsia="宋体" w:cs="Times New Roman"/>
      <w:kern w:val="2"/>
      <w:sz w:val="21"/>
    </w:rPr>
  </w:style>
  <w:style w:type="paragraph" w:customStyle="1" w:styleId="22">
    <w:name w:val="p16"/>
    <w:qFormat/>
    <w:uiPriority w:val="0"/>
    <w:pPr>
      <w:widowControl/>
    </w:pPr>
    <w:rPr>
      <w:rFonts w:ascii="宋体" w:hAnsi="宋体" w:eastAsia="宋体" w:cs="宋体"/>
      <w:kern w:val="0"/>
      <w:szCs w:val="21"/>
    </w:rPr>
  </w:style>
  <w:style w:type="paragraph" w:customStyle="1" w:styleId="23">
    <w:name w:val="p0"/>
    <w:qFormat/>
    <w:uiPriority w:val="0"/>
    <w:pPr>
      <w:widowControl/>
    </w:pPr>
    <w:rPr>
      <w:rFonts w:ascii="Calibri" w:hAnsi="Calibri" w:eastAsia="宋体" w:cs="Times New Roman"/>
      <w:kern w:val="0"/>
      <w:sz w:val="30"/>
      <w:szCs w:val="30"/>
    </w:rPr>
  </w:style>
  <w:style w:type="paragraph" w:customStyle="1" w:styleId="24">
    <w:name w:val="Plain Text1"/>
    <w:qFormat/>
    <w:uiPriority w:val="0"/>
    <w:rPr>
      <w:rFonts w:ascii="宋体" w:hAnsi="Courier New" w:eastAsia="宋体" w:cs="Times New Roman"/>
      <w:szCs w:val="21"/>
    </w:rPr>
  </w:style>
  <w:style w:type="paragraph" w:customStyle="1" w:styleId="25">
    <w:name w:val=" Char Char Char Char"/>
    <w:qFormat/>
    <w:uiPriority w:val="0"/>
    <w:pPr>
      <w:tabs>
        <w:tab w:val="left" w:pos="425"/>
      </w:tabs>
      <w:ind w:left="425" w:hanging="425"/>
    </w:pPr>
    <w:rPr>
      <w:rFonts w:ascii="Calibri" w:hAnsi="Calibri" w:eastAsia="宋体" w:cs="Times New Roman"/>
    </w:rPr>
  </w:style>
  <w:style w:type="paragraph" w:customStyle="1" w:styleId="26">
    <w:name w:val="p0 New"/>
    <w:qFormat/>
    <w:uiPriority w:val="0"/>
    <w:pPr>
      <w:widowControl/>
    </w:pPr>
    <w:rPr>
      <w:rFonts w:ascii="Calibri" w:hAnsi="Calibri" w:eastAsia="宋体" w:cs="Times New Roman"/>
      <w:kern w:val="0"/>
      <w:szCs w:val="21"/>
    </w:rPr>
  </w:style>
  <w:style w:type="paragraph" w:customStyle="1" w:styleId="27">
    <w:name w:val="Normal New New New"/>
    <w:qFormat/>
    <w:uiPriority w:val="0"/>
    <w:pPr>
      <w:jc w:val="both"/>
    </w:pPr>
    <w:rPr>
      <w:rFonts w:ascii="Times New Roman" w:hAnsi="Times New Roman" w:eastAsia="宋体" w:cs="Times New Roman"/>
      <w:kern w:val="2"/>
      <w:sz w:val="21"/>
    </w:rPr>
  </w:style>
  <w:style w:type="paragraph" w:customStyle="1" w:styleId="28">
    <w:name w:val="标题 1 New"/>
    <w:qFormat/>
    <w:uiPriority w:val="0"/>
    <w:pPr>
      <w:spacing w:before="100" w:beforeLines="0" w:beforeAutospacing="1" w:after="100" w:afterLines="0" w:afterAutospacing="1"/>
      <w:jc w:val="left"/>
    </w:pPr>
    <w:rPr>
      <w:rFonts w:hint="eastAsia" w:ascii="宋体" w:hAnsi="宋体" w:eastAsia="宋体" w:cs="宋体"/>
      <w:b/>
      <w:kern w:val="44"/>
      <w:sz w:val="48"/>
      <w:szCs w:val="48"/>
      <w:lang w:val="en-US" w:eastAsia="zh-CN" w:bidi="ar-SA"/>
    </w:rPr>
  </w:style>
  <w:style w:type="paragraph" w:customStyle="1" w:styleId="29">
    <w:name w:val="国标-标题"/>
    <w:basedOn w:val="1"/>
    <w:qFormat/>
    <w:uiPriority w:val="0"/>
    <w:pPr>
      <w:widowControl/>
      <w:spacing w:beforeLines="0" w:afterLines="0" w:line="560" w:lineRule="exact"/>
      <w:jc w:val="center"/>
    </w:pPr>
    <w:rPr>
      <w:rFonts w:hint="eastAsia" w:ascii="方正小标宋_GBK" w:hAnsi="方正小标宋_GBK" w:eastAsia="方正小标宋_GBK" w:cs="方正小标宋_GBK"/>
      <w:color w:val="000000"/>
      <w:kern w:val="0"/>
      <w:sz w:val="44"/>
      <w:szCs w:val="44"/>
      <w:lang w:bidi="ar"/>
    </w:rPr>
  </w:style>
  <w:style w:type="paragraph" w:customStyle="1" w:styleId="30">
    <w:name w:val="国标-正文"/>
    <w:basedOn w:val="1"/>
    <w:qFormat/>
    <w:uiPriority w:val="0"/>
    <w:pPr>
      <w:spacing w:beforeLines="0" w:afterLines="0" w:line="560" w:lineRule="exact"/>
    </w:pPr>
    <w:rPr>
      <w:rFonts w:hint="eastAsia" w:ascii="仿宋_GB2312" w:hAnsi="仿宋_GB2312" w:eastAsia="仿宋_GB2312" w:cs="仿宋_GB2312"/>
      <w:color w:val="000000"/>
      <w:kern w:val="0"/>
      <w:sz w:val="32"/>
      <w:szCs w:val="32"/>
      <w:lang w:bidi="ar"/>
    </w:rPr>
  </w:style>
  <w:style w:type="paragraph" w:customStyle="1" w:styleId="31">
    <w:name w:val="国标-副标题"/>
    <w:basedOn w:val="1"/>
    <w:qFormat/>
    <w:uiPriority w:val="0"/>
    <w:pPr>
      <w:spacing w:after="120" w:afterLines="0" w:line="560" w:lineRule="exact"/>
    </w:pPr>
    <w:rPr>
      <w:rFonts w:hint="eastAsia" w:ascii="Times New Roman" w:hAnsi="Times New Roman" w:eastAsia="楷体_GB2312" w:cs="Times New Roman"/>
      <w:sz w:val="32"/>
    </w:rPr>
  </w:style>
  <w:style w:type="paragraph" w:customStyle="1" w:styleId="32">
    <w:name w:val="国标-正文一级"/>
    <w:basedOn w:val="1"/>
    <w:qFormat/>
    <w:uiPriority w:val="0"/>
    <w:pPr>
      <w:spacing w:afterLines="0" w:line="560" w:lineRule="exact"/>
      <w:ind w:firstLine="883" w:firstLineChars="200"/>
    </w:pPr>
    <w:rPr>
      <w:rFonts w:hint="eastAsia" w:ascii="Times New Roman" w:hAnsi="Times New Roman" w:eastAsia="黑体" w:cs="Times New Roman"/>
      <w:sz w:val="32"/>
    </w:rPr>
  </w:style>
  <w:style w:type="paragraph" w:customStyle="1" w:styleId="33">
    <w:name w:val="国标-正文二级"/>
    <w:basedOn w:val="1"/>
    <w:qFormat/>
    <w:uiPriority w:val="0"/>
    <w:pPr>
      <w:spacing w:afterLines="0" w:line="560" w:lineRule="exact"/>
      <w:ind w:firstLine="883" w:firstLineChars="200"/>
    </w:pPr>
    <w:rPr>
      <w:rFonts w:hint="eastAsia" w:ascii="Times New Roman" w:hAnsi="Times New Roman" w:eastAsia="楷体_GB2312" w:cs="Times New Roman"/>
      <w:sz w:val="32"/>
    </w:rPr>
  </w:style>
  <w:style w:type="paragraph" w:customStyle="1" w:styleId="34">
    <w:name w:val="样式1"/>
    <w:basedOn w:val="1"/>
    <w:qFormat/>
    <w:uiPriority w:val="0"/>
    <w:pPr>
      <w:spacing w:after="120" w:afterLines="0"/>
    </w:pPr>
    <w:rPr>
      <w:rFonts w:hint="eastAsia" w:ascii="Times New Roman" w:hAnsi="Times New Roman" w:eastAsia="仿宋_GB2312" w:cs="Times New Roman"/>
      <w:b/>
      <w:sz w:val="32"/>
    </w:rPr>
  </w:style>
  <w:style w:type="paragraph" w:customStyle="1" w:styleId="35">
    <w:name w:val="国标-正文三级"/>
    <w:basedOn w:val="1"/>
    <w:qFormat/>
    <w:uiPriority w:val="0"/>
    <w:pPr>
      <w:spacing w:afterLines="0" w:line="560" w:lineRule="exact"/>
      <w:ind w:firstLine="883" w:firstLineChars="200"/>
    </w:pPr>
    <w:rPr>
      <w:rFonts w:hint="eastAsia" w:ascii="Times New Roman" w:hAnsi="Times New Roman" w:eastAsia="仿宋_GB2312" w:cs="Times New Roman"/>
      <w:b/>
      <w:sz w:val="32"/>
    </w:rPr>
  </w:style>
  <w:style w:type="paragraph" w:customStyle="1" w:styleId="36">
    <w:name w:val="国标-正文四级"/>
    <w:basedOn w:val="1"/>
    <w:qFormat/>
    <w:uiPriority w:val="0"/>
    <w:pPr>
      <w:spacing w:afterLines="0" w:line="560" w:lineRule="exact"/>
      <w:ind w:firstLine="883" w:firstLineChars="200"/>
    </w:pPr>
    <w:rPr>
      <w:rFonts w:hint="eastAsia" w:ascii="Times New Roman" w:hAnsi="Times New Roman" w:eastAsia="仿宋_GB2312" w:cs="Times New Roman"/>
      <w:b/>
      <w:sz w:val="32"/>
    </w:rPr>
  </w:style>
  <w:style w:type="paragraph" w:customStyle="1" w:styleId="37">
    <w:name w:val="国标-仿宋三号加粗"/>
    <w:basedOn w:val="1"/>
    <w:qFormat/>
    <w:uiPriority w:val="0"/>
    <w:pPr>
      <w:spacing w:afterLines="0" w:line="560" w:lineRule="exact"/>
    </w:pPr>
    <w:rPr>
      <w:rFonts w:hint="eastAsia" w:ascii="Times New Roman" w:hAnsi="Times New Roman" w:eastAsia="仿宋_GB2312" w:cs="Times New Roman"/>
      <w:b/>
      <w:sz w:val="32"/>
    </w:rPr>
  </w:style>
  <w:style w:type="paragraph" w:customStyle="1" w:styleId="38">
    <w:name w:val="国标-仿宋三号常规"/>
    <w:basedOn w:val="1"/>
    <w:qFormat/>
    <w:uiPriority w:val="0"/>
    <w:pPr>
      <w:spacing w:afterLines="0" w:line="560" w:lineRule="exact"/>
    </w:pPr>
    <w:rPr>
      <w:rFonts w:hint="eastAsia" w:ascii="Times New Roman" w:hAnsi="Times New Roman" w:eastAsia="仿宋_GB2312" w:cs="Times New Roman"/>
      <w:sz w:val="32"/>
    </w:rPr>
  </w:style>
  <w:style w:type="paragraph" w:customStyle="1" w:styleId="39">
    <w:name w:val="国标-黑体三号常规"/>
    <w:basedOn w:val="1"/>
    <w:qFormat/>
    <w:uiPriority w:val="0"/>
    <w:pPr>
      <w:spacing w:afterLines="0" w:line="560" w:lineRule="exact"/>
      <w:ind w:firstLine="0" w:firstLineChars="0"/>
    </w:pPr>
    <w:rPr>
      <w:rFonts w:hint="eastAsia" w:ascii="Times New Roman" w:hAnsi="Times New Roman" w:eastAsia="黑体" w:cs="Times New Roman"/>
      <w:sz w:val="32"/>
    </w:rPr>
  </w:style>
  <w:style w:type="paragraph" w:customStyle="1" w:styleId="40">
    <w:name w:val="国标-页码"/>
    <w:basedOn w:val="1"/>
    <w:qFormat/>
    <w:uiPriority w:val="0"/>
    <w:pPr>
      <w:spacing w:afterLines="0" w:line="560" w:lineRule="exact"/>
      <w:ind w:firstLine="0" w:firstLineChars="0"/>
    </w:pPr>
    <w:rPr>
      <w:rFonts w:hint="eastAsia" w:ascii="Times New Roman" w:hAnsi="Times New Roman" w:eastAsia="仿宋_GB2312" w:cs="Times New Roman"/>
      <w:sz w:val="28"/>
    </w:rPr>
  </w:style>
  <w:style w:type="paragraph" w:customStyle="1" w:styleId="41">
    <w:name w:val="国标-仿宋小二号"/>
    <w:basedOn w:val="1"/>
    <w:qFormat/>
    <w:uiPriority w:val="0"/>
    <w:pPr>
      <w:spacing w:afterLines="0" w:line="560" w:lineRule="exact"/>
      <w:ind w:firstLine="0" w:firstLineChars="0"/>
    </w:pPr>
    <w:rPr>
      <w:rFonts w:hint="eastAsia" w:ascii="Times New Roman" w:hAnsi="Times New Roman" w:eastAsia="仿宋_GB2312" w:cs="Times New Roman"/>
      <w:sz w:val="36"/>
    </w:rPr>
  </w:style>
  <w:style w:type="paragraph" w:customStyle="1" w:styleId="42">
    <w:name w:val="国标-楷体小二"/>
    <w:basedOn w:val="1"/>
    <w:qFormat/>
    <w:uiPriority w:val="0"/>
    <w:pPr>
      <w:spacing w:beforeLines="0" w:afterLines="0" w:line="560" w:lineRule="exact"/>
    </w:pPr>
    <w:rPr>
      <w:rFonts w:hint="eastAsia" w:ascii="仿宋_GB2312" w:hAnsi="仿宋_GB2312" w:eastAsia="楷体_GB2312" w:cs="仿宋_GB2312"/>
      <w:color w:val="000000"/>
      <w:kern w:val="0"/>
      <w:sz w:val="36"/>
      <w:szCs w:val="32"/>
      <w:lang w:bidi="ar"/>
    </w:rPr>
  </w:style>
  <w:style w:type="paragraph" w:customStyle="1" w:styleId="43">
    <w:name w:val="国标-附件"/>
    <w:basedOn w:val="1"/>
    <w:qFormat/>
    <w:uiPriority w:val="0"/>
    <w:pPr>
      <w:spacing w:line="560" w:lineRule="exact"/>
      <w:ind w:left="1598" w:leftChars="304" w:hanging="960" w:hangingChars="300"/>
    </w:pPr>
    <w:rPr>
      <w:rFonts w:hint="eastAsia" w:ascii="仿宋_GB2312" w:hAnsi="仿宋_GB2312" w:eastAsia="仿宋_GB2312" w:cs="仿宋_GB2312"/>
      <w:color w:val="000000"/>
      <w:sz w:val="32"/>
      <w:szCs w:val="32"/>
    </w:rPr>
  </w:style>
  <w:style w:type="paragraph" w:customStyle="1" w:styleId="44">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rPr>
  </w:style>
  <w:style w:type="paragraph" w:customStyle="1" w:styleId="45">
    <w:name w:val="正文 New New"/>
    <w:qFormat/>
    <w:uiPriority w:val="0"/>
    <w:pPr>
      <w:widowControl w:val="0"/>
    </w:pPr>
    <w:rPr>
      <w:rFonts w:ascii="Times New Roman" w:hAnsi="Times New Roman" w:eastAsia="宋体" w:cs="Times New Roman"/>
      <w:color w:val="000000"/>
      <w:kern w:val="1"/>
      <w:lang w:val="zh-CN" w:eastAsia="zh-CN" w:bidi="ar-SA"/>
    </w:rPr>
  </w:style>
  <w:style w:type="paragraph" w:customStyle="1" w:styleId="46">
    <w:name w:val="table of authorities"/>
    <w:basedOn w:val="1"/>
    <w:next w:val="1"/>
    <w:qFormat/>
    <w:uiPriority w:val="0"/>
    <w:pPr>
      <w:ind w:left="420" w:leftChars="200"/>
    </w:pPr>
    <w:rPr>
      <w:rFonts w:ascii="Times New Roman" w:hAnsi="Times New Roman" w:eastAsia="宋体" w:cs="Times New Roman"/>
    </w:rPr>
  </w:style>
  <w:style w:type="paragraph" w:customStyle="1" w:styleId="47">
    <w:name w:val="Normal (Web)"/>
    <w:basedOn w:val="45"/>
    <w:qFormat/>
    <w:uiPriority w:val="0"/>
    <w:pPr>
      <w:widowControl/>
      <w:spacing w:before="100" w:beforeLines="0" w:beforeAutospacing="1" w:after="100" w:afterLines="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jglj\AppData\Roaming\kingsoft\office6\templates\wps\zh_CN\&#21457;&#25991;&#20844;&#25991;&#27169;&#26495;.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发文公文模板.wpt</Template>
  <Pages>2</Pages>
  <Words>249</Words>
  <Characters>259</Characters>
  <Lines>0</Lines>
  <Paragraphs>0</Paragraphs>
  <TotalTime>0</TotalTime>
  <ScaleCrop>false</ScaleCrop>
  <LinksUpToDate>false</LinksUpToDate>
  <CharactersWithSpaces>327</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2023-06-08T08:14:00Z</dcterms:created>
  <dc:creator>陈楚健</dc:creator>
  <cp:lastModifiedBy>潘松阳</cp:lastModifiedBy>
  <cp:lastPrinted>2026-04-12T09:31:45Z</cp:lastPrinted>
  <dcterms:modified xsi:type="dcterms:W3CDTF">2026-04-12T09:31:48Z</dcterms:modified>
  <dc:title>清远市清城区安全生产监督管理局</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y fmtid="{D5CDD505-2E9C-101B-9397-08002B2CF9AE}" pid="3" name="KSOSaveFontToCloudKey">
    <vt:lpwstr>541415891_cloud</vt:lpwstr>
  </property>
  <property fmtid="{D5CDD505-2E9C-101B-9397-08002B2CF9AE}" pid="4" name="ICV">
    <vt:lpwstr>5E3C0DCB03614EA7BB6633031485443E</vt:lpwstr>
  </property>
</Properties>
</file>